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PROFORMA FATURA</w:t>
      </w:r>
    </w:p>
    <w:p>
      <w:r>
        <w:rPr>
          <w:color w:val="6B7080"/>
          <w:sz w:val="17"/>
        </w:rPr>
        <w:t>Satış kesinleşmeden önce alıcıya fiyat ve şartları bildiren ön belge — resmî fatura değildir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Satıcı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Unvan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Vergi dairesi /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 / e-posta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Banka / IBAN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Alıcı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Unvan / 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Vergi dairesi /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Yetkili / 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Proforma bilgileri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Proforma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Düzenleme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Geçerlilik</w:t>
            </w:r>
          </w:p>
        </w:tc>
        <w:tc>
          <w:tcPr>
            <w:tcW w:type="dxa" w:w="6576"/>
            <w:vAlign w:val="center"/>
          </w:tcPr>
          <w:p>
            <w:r>
              <w:t>Bu proforma ..../..../........ tarihine kadar geçerlidir.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Para birimi</w:t>
            </w:r>
          </w:p>
        </w:tc>
        <w:tc>
          <w:tcPr>
            <w:tcW w:type="dxa" w:w="6576"/>
            <w:vAlign w:val="center"/>
          </w:tcPr>
          <w:p>
            <w:r>
              <w:t>☐ TL   ☐ USD   ☐ EUR   ☐ 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şekli / yeri</w:t>
            </w:r>
          </w:p>
        </w:tc>
        <w:tc>
          <w:tcPr>
            <w:tcW w:type="dxa" w:w="6576"/>
            <w:vAlign w:val="center"/>
          </w:tcPr>
          <w:p>
            <w:r>
              <w:t>☐ İşyerinde teslim   ☐ Alıcı adresine   ☐ İhracatta teslim şekli (EXW, FOB, CIF vb.): ........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c>
          <w:tcPr>
            <w:tcW w:type="dxa" w:w="10423"/>
            <w:gridSpan w:val="7"/>
            <w:shd w:val="clear" w:color="auto" w:fill="1F2330"/>
          </w:tcPr>
          <w:p>
            <w:r>
              <w:rPr>
                <w:b/>
                <w:color w:val="FFFFFF"/>
              </w:rPr>
              <w:t>Mal / hizmet kalemleri</w:t>
            </w:r>
          </w:p>
        </w:tc>
      </w:tr>
      <w:tr>
        <w:tc>
          <w:tcPr>
            <w:tcW w:type="dxa" w:w="444"/>
            <w:shd w:val="clear" w:color="auto" w:fill="F1F1F8"/>
          </w:tcPr>
          <w:p>
            <w:r>
              <w:rPr>
                <w:b/>
                <w:sz w:val="16"/>
              </w:rPr>
              <w:t>Sıra</w:t>
            </w:r>
          </w:p>
        </w:tc>
        <w:tc>
          <w:tcPr>
            <w:tcW w:type="dxa" w:w="2666"/>
            <w:shd w:val="clear" w:color="auto" w:fill="F1F1F8"/>
          </w:tcPr>
          <w:p>
            <w:r>
              <w:rPr>
                <w:b/>
                <w:sz w:val="16"/>
              </w:rPr>
              <w:t>Mal / hizmet</w:t>
            </w:r>
          </w:p>
        </w:tc>
        <w:tc>
          <w:tcPr>
            <w:tcW w:type="dxa" w:w="2412"/>
            <w:shd w:val="clear" w:color="auto" w:fill="F1F1F8"/>
          </w:tcPr>
          <w:p>
            <w:r>
              <w:rPr>
                <w:b/>
                <w:sz w:val="16"/>
              </w:rPr>
              <w:t>Açıklama / GTİP (ihracat)</w:t>
            </w:r>
          </w:p>
        </w:tc>
        <w:tc>
          <w:tcPr>
            <w:tcW w:type="dxa" w:w="825"/>
            <w:shd w:val="clear" w:color="auto" w:fill="F1F1F8"/>
          </w:tcPr>
          <w:p>
            <w:r>
              <w:rPr>
                <w:b/>
                <w:sz w:val="16"/>
              </w:rPr>
              <w:t>Miktar</w:t>
            </w:r>
          </w:p>
        </w:tc>
        <w:tc>
          <w:tcPr>
            <w:tcW w:type="dxa" w:w="762"/>
            <w:shd w:val="clear" w:color="auto" w:fill="F1F1F8"/>
          </w:tcPr>
          <w:p>
            <w:r>
              <w:rPr>
                <w:b/>
                <w:sz w:val="16"/>
              </w:rPr>
              <w:t>Birim</w:t>
            </w:r>
          </w:p>
        </w:tc>
        <w:tc>
          <w:tcPr>
            <w:tcW w:type="dxa" w:w="1460"/>
            <w:shd w:val="clear" w:color="auto" w:fill="F1F1F8"/>
          </w:tcPr>
          <w:p>
            <w:r>
              <w:rPr>
                <w:b/>
                <w:sz w:val="16"/>
              </w:rPr>
              <w:t>Birim fiyat</w:t>
            </w:r>
          </w:p>
        </w:tc>
        <w:tc>
          <w:tcPr>
            <w:tcW w:type="dxa" w:w="1523"/>
            <w:shd w:val="clear" w:color="auto" w:fill="F1F1F8"/>
          </w:tcPr>
          <w:p>
            <w:r>
              <w:rPr>
                <w:b/>
                <w:sz w:val="16"/>
              </w:rPr>
              <w:t>Tutar</w:t>
            </w:r>
          </w:p>
        </w:tc>
      </w:tr>
      <w:tr>
        <w:trPr>
          <w:trHeight w:val="340"/>
        </w:trPr>
        <w:tc>
          <w:tcPr>
            <w:tcW w:type="dxa" w:w="444"/>
          </w:tcPr>
          <w:p>
            <w:r>
              <w:t>1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2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3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4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5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6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7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  <w:tr>
        <w:trPr>
          <w:trHeight w:val="340"/>
        </w:trPr>
        <w:tc>
          <w:tcPr>
            <w:tcW w:type="dxa" w:w="444"/>
          </w:tcPr>
          <w:p>
            <w:r>
              <w:t>8</w:t>
            </w:r>
          </w:p>
        </w:tc>
        <w:tc>
          <w:tcPr>
            <w:tcW w:type="dxa" w:w="2666"/>
          </w:tcPr>
          <w:p/>
        </w:tc>
        <w:tc>
          <w:tcPr>
            <w:tcW w:type="dxa" w:w="2412"/>
          </w:tcPr>
          <w:p/>
        </w:tc>
        <w:tc>
          <w:tcPr>
            <w:tcW w:type="dxa" w:w="825"/>
          </w:tcPr>
          <w:p/>
        </w:tc>
        <w:tc>
          <w:tcPr>
            <w:tcW w:type="dxa" w:w="762"/>
          </w:tcPr>
          <w:p/>
        </w:tc>
        <w:tc>
          <w:tcPr>
            <w:tcW w:type="dxa" w:w="1460"/>
          </w:tcPr>
          <w:p/>
        </w:tc>
        <w:tc>
          <w:tcPr>
            <w:tcW w:type="dxa" w:w="1523"/>
          </w:tcPr>
          <w:p/>
        </w:tc>
      </w:tr>
    </w:tbl>
    <w:p>
      <w:r>
        <w:rPr>
          <w:i/>
          <w:sz w:val="17"/>
        </w:rPr>
        <w:t>Para birimini (TL, USD, EUR) tek tip yazın. İhracatta mal tanımı ve GTİP alıcının gümrük işlemleri için önemlidir.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Toplam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Ara toplam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İskonto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KDV</w:t>
            </w:r>
          </w:p>
        </w:tc>
        <w:tc>
          <w:tcPr>
            <w:tcW w:type="dxa" w:w="6576"/>
            <w:vAlign w:val="center"/>
          </w:tcPr>
          <w:p>
            <w:r>
              <w:t>Oran: %......   Tutar: ....................   ☐ Fiyatlara KDV dahildir   ☐ KDV hariçtir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GENEL TOPLAM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Şartlar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Ödeme</w:t>
            </w:r>
          </w:p>
        </w:tc>
        <w:tc>
          <w:tcPr>
            <w:tcW w:type="dxa" w:w="6576"/>
            <w:vAlign w:val="center"/>
          </w:tcPr>
          <w:p>
            <w:r>
              <w:t>☐ Peşin   ☐ Havale / EFT   ☐ Akreditif   ☐ ........ gün vadeli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süresi</w:t>
            </w:r>
          </w:p>
        </w:tc>
        <w:tc>
          <w:tcPr>
            <w:tcW w:type="dxa" w:w="6576"/>
            <w:vAlign w:val="center"/>
          </w:tcPr>
          <w:p>
            <w:r>
              <w:t>Siparişten / ödemeden sonra ........ gün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Ambalaj ve nakliye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Not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Proforma fatura, satış öncesinde fiyatı ve şartları bildiren bir ön belgedir; Vergi Usul Kanunu'ndaki fatura yerine geçmez, vergi ve gelir kaydı doğurmaz.</w:t>
      </w:r>
    </w:p>
    <w:p>
      <w:pPr>
        <w:spacing w:after="20"/>
      </w:pPr>
      <w:r>
        <w:rPr>
          <w:sz w:val="17"/>
        </w:rPr>
        <w:t>• Mal teslim edilince ya da hizmet yapılınca fatura en geç yedi gün içinde düzenlenir (VUK m. 231/5). Proformadaki bilgilerle kesin fatura birbirini tutmalıdır.</w:t>
      </w:r>
    </w:p>
    <w:p>
      <w:pPr>
        <w:spacing w:after="20"/>
      </w:pPr>
      <w:r>
        <w:rPr>
          <w:sz w:val="17"/>
        </w:rPr>
        <w:t>• İthalat ve ihracatta banka, akreditif ve gümrük işlemlerinde proforma istenebilir; döviz cinsinden düzenlenebilir.</w:t>
      </w:r>
    </w:p>
    <w:p>
      <w:pPr>
        <w:spacing w:after="20"/>
      </w:pPr>
      <w:r>
        <w:rPr>
          <w:sz w:val="17"/>
        </w:rPr>
        <w:t>• Geçerlilik tarihi yazın: kur ve fiyat değiştiğinde eski proformayla bağlı kalmanızı önler.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Satıcı</w:t>
              <w:br/>
              <w:t>Ad soyad / İmza / Kaşe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Alıcı onayı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213 sayılı Vergi Usul Kanunu m. 229 (fatura) ve m. 231 (fatura düzenleme süresi).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Teklif ve satışı programda hazırlayın: müşteri bağlantıdan onaylasın, satışa dönüşsün, stok ve kasa kendiliğinden güncellensin. 250 kayda kadar ücretsiz: https://isletmeyonetim.com/register?utm_source=sablon&amp;utm_medium=word&amp;utm_campaign=proforma-fatura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Fatura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