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MAL / ÜRÜN İADE TUTANAĞI</w:t>
      </w:r>
    </w:p>
    <w:p>
      <w:r>
        <w:rPr>
          <w:color w:val="6B7080"/>
          <w:sz w:val="17"/>
        </w:rPr>
        <w:t>Satılan ürünün geri alınmasının, iade sebebinin ve geri ödemenin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Satıcı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İşletme unvanı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İadeyi teslim alan yetkili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İade eden (alıcı)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 / unvan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T.C. kimlik no / vergi no (gerekirse)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Satış ve iade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Tutanak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Fatura / fiş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Satış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Satış şekli</w:t>
            </w:r>
          </w:p>
        </w:tc>
        <w:tc>
          <w:tcPr>
            <w:tcW w:type="dxa" w:w="6576"/>
            <w:vAlign w:val="center"/>
          </w:tcPr>
          <w:p>
            <w:r>
              <w:t>☐ Mağazada   ☐ İnternet / telefonla (mesafeli)   ☐ Kapıdan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0423"/>
            <w:gridSpan w:val="7"/>
            <w:shd w:val="clear" w:color="auto" w:fill="1F2330"/>
          </w:tcPr>
          <w:p>
            <w:r>
              <w:rPr>
                <w:b/>
                <w:color w:val="FFFFFF"/>
              </w:rPr>
              <w:t>İade edilen ürünler</w:t>
            </w:r>
          </w:p>
        </w:tc>
      </w:tr>
      <w:tr>
        <w:tc>
          <w:tcPr>
            <w:tcW w:type="dxa" w:w="447"/>
            <w:shd w:val="clear" w:color="auto" w:fill="F1F1F8"/>
          </w:tcPr>
          <w:p>
            <w:r>
              <w:rPr>
                <w:b/>
                <w:sz w:val="16"/>
              </w:rPr>
              <w:t>Sıra</w:t>
            </w:r>
          </w:p>
        </w:tc>
        <w:tc>
          <w:tcPr>
            <w:tcW w:type="dxa" w:w="2683"/>
            <w:shd w:val="clear" w:color="auto" w:fill="F1F1F8"/>
          </w:tcPr>
          <w:p>
            <w:r>
              <w:rPr>
                <w:b/>
                <w:sz w:val="16"/>
              </w:rPr>
              <w:t>Ürün adı</w:t>
            </w:r>
          </w:p>
        </w:tc>
        <w:tc>
          <w:tcPr>
            <w:tcW w:type="dxa" w:w="1661"/>
            <w:shd w:val="clear" w:color="auto" w:fill="F1F1F8"/>
          </w:tcPr>
          <w:p>
            <w:r>
              <w:rPr>
                <w:b/>
                <w:sz w:val="16"/>
              </w:rPr>
              <w:t>Marka / model</w:t>
            </w:r>
          </w:p>
        </w:tc>
        <w:tc>
          <w:tcPr>
            <w:tcW w:type="dxa" w:w="1788"/>
            <w:shd w:val="clear" w:color="auto" w:fill="F1F1F8"/>
          </w:tcPr>
          <w:p>
            <w:r>
              <w:rPr>
                <w:b/>
                <w:sz w:val="16"/>
              </w:rPr>
              <w:t>Seri no / IMEI</w:t>
            </w:r>
          </w:p>
        </w:tc>
        <w:tc>
          <w:tcPr>
            <w:tcW w:type="dxa" w:w="639"/>
            <w:shd w:val="clear" w:color="auto" w:fill="F1F1F8"/>
          </w:tcPr>
          <w:p>
            <w:r>
              <w:rPr>
                <w:b/>
                <w:sz w:val="16"/>
              </w:rPr>
              <w:t>Adet</w:t>
            </w:r>
          </w:p>
        </w:tc>
        <w:tc>
          <w:tcPr>
            <w:tcW w:type="dxa" w:w="1277"/>
            <w:shd w:val="clear" w:color="auto" w:fill="F1F1F8"/>
          </w:tcPr>
          <w:p>
            <w:r>
              <w:rPr>
                <w:b/>
                <w:sz w:val="16"/>
              </w:rPr>
              <w:t>Birim fiyat ₺</w:t>
            </w:r>
          </w:p>
        </w:tc>
        <w:tc>
          <w:tcPr>
            <w:tcW w:type="dxa" w:w="1597"/>
            <w:shd w:val="clear" w:color="auto" w:fill="F1F1F8"/>
          </w:tcPr>
          <w:p>
            <w:r>
              <w:rPr>
                <w:b/>
                <w:sz w:val="16"/>
              </w:rPr>
              <w:t>İade tutarı ₺</w:t>
            </w:r>
          </w:p>
        </w:tc>
      </w:tr>
      <w:tr>
        <w:trPr>
          <w:trHeight w:val="340"/>
        </w:trPr>
        <w:tc>
          <w:tcPr>
            <w:tcW w:type="dxa" w:w="447"/>
          </w:tcPr>
          <w:p>
            <w:r>
              <w:t>1</w:t>
            </w:r>
          </w:p>
        </w:tc>
        <w:tc>
          <w:tcPr>
            <w:tcW w:type="dxa" w:w="2683"/>
          </w:tcPr>
          <w:p/>
        </w:tc>
        <w:tc>
          <w:tcPr>
            <w:tcW w:type="dxa" w:w="1661"/>
          </w:tcPr>
          <w:p/>
        </w:tc>
        <w:tc>
          <w:tcPr>
            <w:tcW w:type="dxa" w:w="1788"/>
          </w:tcPr>
          <w:p/>
        </w:tc>
        <w:tc>
          <w:tcPr>
            <w:tcW w:type="dxa" w:w="639"/>
          </w:tcPr>
          <w:p/>
        </w:tc>
        <w:tc>
          <w:tcPr>
            <w:tcW w:type="dxa" w:w="1277"/>
          </w:tcPr>
          <w:p/>
        </w:tc>
        <w:tc>
          <w:tcPr>
            <w:tcW w:type="dxa" w:w="1597"/>
          </w:tcPr>
          <w:p/>
        </w:tc>
      </w:tr>
      <w:tr>
        <w:trPr>
          <w:trHeight w:val="340"/>
        </w:trPr>
        <w:tc>
          <w:tcPr>
            <w:tcW w:type="dxa" w:w="447"/>
          </w:tcPr>
          <w:p>
            <w:r>
              <w:t>2</w:t>
            </w:r>
          </w:p>
        </w:tc>
        <w:tc>
          <w:tcPr>
            <w:tcW w:type="dxa" w:w="2683"/>
          </w:tcPr>
          <w:p/>
        </w:tc>
        <w:tc>
          <w:tcPr>
            <w:tcW w:type="dxa" w:w="1661"/>
          </w:tcPr>
          <w:p/>
        </w:tc>
        <w:tc>
          <w:tcPr>
            <w:tcW w:type="dxa" w:w="1788"/>
          </w:tcPr>
          <w:p/>
        </w:tc>
        <w:tc>
          <w:tcPr>
            <w:tcW w:type="dxa" w:w="639"/>
          </w:tcPr>
          <w:p/>
        </w:tc>
        <w:tc>
          <w:tcPr>
            <w:tcW w:type="dxa" w:w="1277"/>
          </w:tcPr>
          <w:p/>
        </w:tc>
        <w:tc>
          <w:tcPr>
            <w:tcW w:type="dxa" w:w="1597"/>
          </w:tcPr>
          <w:p/>
        </w:tc>
      </w:tr>
      <w:tr>
        <w:trPr>
          <w:trHeight w:val="340"/>
        </w:trPr>
        <w:tc>
          <w:tcPr>
            <w:tcW w:type="dxa" w:w="447"/>
          </w:tcPr>
          <w:p>
            <w:r>
              <w:t>3</w:t>
            </w:r>
          </w:p>
        </w:tc>
        <w:tc>
          <w:tcPr>
            <w:tcW w:type="dxa" w:w="2683"/>
          </w:tcPr>
          <w:p/>
        </w:tc>
        <w:tc>
          <w:tcPr>
            <w:tcW w:type="dxa" w:w="1661"/>
          </w:tcPr>
          <w:p/>
        </w:tc>
        <w:tc>
          <w:tcPr>
            <w:tcW w:type="dxa" w:w="1788"/>
          </w:tcPr>
          <w:p/>
        </w:tc>
        <w:tc>
          <w:tcPr>
            <w:tcW w:type="dxa" w:w="639"/>
          </w:tcPr>
          <w:p/>
        </w:tc>
        <w:tc>
          <w:tcPr>
            <w:tcW w:type="dxa" w:w="1277"/>
          </w:tcPr>
          <w:p/>
        </w:tc>
        <w:tc>
          <w:tcPr>
            <w:tcW w:type="dxa" w:w="1597"/>
          </w:tcPr>
          <w:p/>
        </w:tc>
      </w:tr>
      <w:tr>
        <w:trPr>
          <w:trHeight w:val="340"/>
        </w:trPr>
        <w:tc>
          <w:tcPr>
            <w:tcW w:type="dxa" w:w="447"/>
          </w:tcPr>
          <w:p>
            <w:r>
              <w:t>4</w:t>
            </w:r>
          </w:p>
        </w:tc>
        <w:tc>
          <w:tcPr>
            <w:tcW w:type="dxa" w:w="2683"/>
          </w:tcPr>
          <w:p/>
        </w:tc>
        <w:tc>
          <w:tcPr>
            <w:tcW w:type="dxa" w:w="1661"/>
          </w:tcPr>
          <w:p/>
        </w:tc>
        <w:tc>
          <w:tcPr>
            <w:tcW w:type="dxa" w:w="1788"/>
          </w:tcPr>
          <w:p/>
        </w:tc>
        <w:tc>
          <w:tcPr>
            <w:tcW w:type="dxa" w:w="639"/>
          </w:tcPr>
          <w:p/>
        </w:tc>
        <w:tc>
          <w:tcPr>
            <w:tcW w:type="dxa" w:w="1277"/>
          </w:tcPr>
          <w:p/>
        </w:tc>
        <w:tc>
          <w:tcPr>
            <w:tcW w:type="dxa" w:w="1597"/>
          </w:tcPr>
          <w:p/>
        </w:tc>
      </w:tr>
      <w:tr>
        <w:trPr>
          <w:trHeight w:val="340"/>
        </w:trPr>
        <w:tc>
          <w:tcPr>
            <w:tcW w:type="dxa" w:w="447"/>
          </w:tcPr>
          <w:p>
            <w:r>
              <w:t>5</w:t>
            </w:r>
          </w:p>
        </w:tc>
        <w:tc>
          <w:tcPr>
            <w:tcW w:type="dxa" w:w="2683"/>
          </w:tcPr>
          <w:p/>
        </w:tc>
        <w:tc>
          <w:tcPr>
            <w:tcW w:type="dxa" w:w="1661"/>
          </w:tcPr>
          <w:p/>
        </w:tc>
        <w:tc>
          <w:tcPr>
            <w:tcW w:type="dxa" w:w="1788"/>
          </w:tcPr>
          <w:p/>
        </w:tc>
        <w:tc>
          <w:tcPr>
            <w:tcW w:type="dxa" w:w="639"/>
          </w:tcPr>
          <w:p/>
        </w:tc>
        <w:tc>
          <w:tcPr>
            <w:tcW w:type="dxa" w:w="1277"/>
          </w:tcPr>
          <w:p/>
        </w:tc>
        <w:tc>
          <w:tcPr>
            <w:tcW w:type="dxa" w:w="1597"/>
          </w:tcPr>
          <w:p/>
        </w:tc>
      </w:tr>
    </w:tbl>
    <w:p>
      <w:r>
        <w:rPr>
          <w:i/>
          <w:sz w:val="17"/>
        </w:rPr>
        <w:t>Seri numaralı ürünlerde iade edilen ürünün satılan ürünle aynı olduğu seri no / IMEI ile kontrol edilir.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İade sebebi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Sebep</w:t>
            </w:r>
          </w:p>
        </w:tc>
        <w:tc>
          <w:tcPr>
            <w:tcW w:type="dxa" w:w="6576"/>
            <w:vAlign w:val="center"/>
          </w:tcPr>
          <w:p>
            <w:r>
              <w:t>☐ Ayıplı / arızalı   ☐ Yanlış ürün   ☐ Eksik parça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Diğer sebep</w:t>
            </w:r>
          </w:p>
        </w:tc>
        <w:tc>
          <w:tcPr>
            <w:tcW w:type="dxa" w:w="6576"/>
            <w:vAlign w:val="center"/>
          </w:tcPr>
          <w:p>
            <w:r>
              <w:t>☐ Cayma (mesafeli satış, 14 gün)   ☐ İşletmenin iade politikası</w:t>
            </w:r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Ayıp / arıza açıklaması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Ayıplı malda alıcının talebi</w:t>
            </w:r>
          </w:p>
        </w:tc>
        <w:tc>
          <w:tcPr>
            <w:tcW w:type="dxa" w:w="6576"/>
            <w:vAlign w:val="center"/>
          </w:tcPr>
          <w:p>
            <w:r>
              <w:t>☐ Sözleşmeden dönme (bedel iadesi)   ☐ Bedelden indirim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/>
          </w:p>
        </w:tc>
        <w:tc>
          <w:tcPr>
            <w:tcW w:type="dxa" w:w="6576"/>
            <w:vAlign w:val="center"/>
          </w:tcPr>
          <w:p>
            <w:r>
              <w:t>☐ Ücretsiz onarım   ☐ Ayıpsız misliyle değişim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Ürünün iade edildiği hâl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Ambalaj</w:t>
            </w:r>
          </w:p>
        </w:tc>
        <w:tc>
          <w:tcPr>
            <w:tcW w:type="dxa" w:w="6576"/>
            <w:vAlign w:val="center"/>
          </w:tcPr>
          <w:p>
            <w:r>
              <w:t>☐ Açılmamış   ☐ Açılmış, eksiksiz   ☐ Eksik / hasarlı: 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Birlikte iade edilenler</w:t>
            </w:r>
          </w:p>
        </w:tc>
        <w:tc>
          <w:tcPr>
            <w:tcW w:type="dxa" w:w="6576"/>
            <w:vAlign w:val="center"/>
          </w:tcPr>
          <w:p>
            <w:r>
              <w:t>☐ Fatura / fiş   ☐ Garanti belgesi   ☐ Aksesuarlar   ☐ Kutu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Kontrol notu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Geri ödeme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Geri ödenen tutar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Ödeme şekli</w:t>
            </w:r>
          </w:p>
        </w:tc>
        <w:tc>
          <w:tcPr>
            <w:tcW w:type="dxa" w:w="6576"/>
            <w:vAlign w:val="center"/>
          </w:tcPr>
          <w:p>
            <w:r>
              <w:t>☐ Nakit   ☐ Karta iade   ☐ Havale / EFT   ☐ Değişim / mahsup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Ödeme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Ayıplı malda tüketici; sözleşmeden dönme, bedelden indirim, ücretsiz onarım ya da imkân varsa ayıpsız misliyle değişim haklarından birini seçer ve satıcı bu talebi yerine getirir (6502 s. Kanun m. 11).</w:t>
      </w:r>
    </w:p>
    <w:p>
      <w:pPr>
        <w:spacing w:after="20"/>
      </w:pPr>
      <w:r>
        <w:rPr>
          <w:sz w:val="17"/>
        </w:rPr>
        <w:t>• Teslimden itibaren altı ay içinde ortaya çıkan ayıpların teslimde var olduğu kabul edilir; malın ayıplı olmadığını ispat satıcıya düşer (m. 10). Ayıplı maldan sorumluluk teslimden itibaren iki yıllık zamanaşımına tabidir (m. 12).</w:t>
      </w:r>
    </w:p>
    <w:p>
      <w:pPr>
        <w:spacing w:after="20"/>
      </w:pPr>
      <w:r>
        <w:rPr>
          <w:sz w:val="17"/>
        </w:rPr>
        <w:t>• Mesafeli satışta (internet, telefon) tüketici 14 gün içinde gerekçe göstermeden cayabilir (m. 48/4). Mağazadan alınan ayıpsız ürünün iadesi kanunda zorunlu değildir; işletmenin iade politikasına bağlıdır.</w:t>
      </w:r>
    </w:p>
    <w:p>
      <w:pPr>
        <w:spacing w:after="20"/>
      </w:pPr>
      <w:r>
        <w:rPr>
          <w:sz w:val="17"/>
        </w:rPr>
        <w:t>• Alıcı vergi mükellefiyse iade için belge (iade faturası) gerekebilir; bunu mali müşavirinizle netleştirin.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İadeyi teslim alan (satıcı)</w:t>
              <w:br/>
              <w:t>Ad soyad / İmza / Kaşe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İade eden (alıcı)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6502 sayılı Tüketicinin Korunması Hakkında Kanun m. 8, 10, 11, 12 ve 48.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250 kayda kadar ücretsiz: https://isletmeyonetim.com/register?utm_source=sablon&amp;utm_medium=word&amp;utm_campaign=mal-iade-tutanagi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/ Ürün İade Tutanaği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